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2"/>
        <w:rPr>
          <w:rFonts w:hint="eastAsia"/>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90"/>
        <w:gridCol w:w="3683"/>
        <w:gridCol w:w="1365"/>
        <w:gridCol w:w="82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590" w:type="dxa"/>
            <w:vAlign w:val="center"/>
          </w:tcPr>
          <w:p>
            <w:pPr>
              <w:spacing w:line="400" w:lineRule="exact"/>
              <w:jc w:val="center"/>
              <w:rPr>
                <w:rFonts w:hint="eastAsia" w:eastAsia="方正黑体_GBK"/>
                <w:sz w:val="28"/>
                <w:szCs w:val="28"/>
              </w:rPr>
            </w:pPr>
            <w:r>
              <w:rPr>
                <w:rFonts w:hint="eastAsia" w:eastAsia="方正黑体_GBK"/>
                <w:sz w:val="28"/>
                <w:szCs w:val="28"/>
              </w:rPr>
              <w:t>采购项目名称</w:t>
            </w:r>
          </w:p>
        </w:tc>
        <w:tc>
          <w:tcPr>
            <w:tcW w:w="3683"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36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829"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882"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pPr>
              <w:rPr>
                <w:rFonts w:hint="eastAsia" w:eastAsia="方正仿宋_GBK"/>
                <w:lang w:val="en-US" w:eastAsia="zh-CN"/>
              </w:rPr>
            </w:pPr>
            <w:r>
              <w:rPr>
                <w:rFonts w:hint="eastAsia"/>
                <w:lang w:val="en-US" w:eastAsia="zh-CN"/>
              </w:rPr>
              <w:t>1</w:t>
            </w:r>
          </w:p>
        </w:tc>
        <w:tc>
          <w:tcPr>
            <w:tcW w:w="1590" w:type="dxa"/>
            <w:vAlign w:val="center"/>
          </w:tcPr>
          <w:p>
            <w:pPr>
              <w:rPr>
                <w:rFonts w:hint="default" w:ascii="方正仿宋_GBK" w:eastAsia="方正仿宋_GBK"/>
                <w:szCs w:val="21"/>
                <w:lang w:val="en-US" w:eastAsia="zh-CN"/>
              </w:rPr>
            </w:pPr>
            <w:r>
              <w:rPr>
                <w:rFonts w:hint="default" w:ascii="宋体" w:hAnsi="宋体" w:eastAsia="宋体" w:cs="宋体"/>
                <w:sz w:val="28"/>
                <w:szCs w:val="28"/>
                <w:lang w:val="en-US" w:eastAsia="zh-CN"/>
              </w:rPr>
              <w:t>2023年第一届川渝肿瘤防控大会</w:t>
            </w:r>
          </w:p>
        </w:tc>
        <w:tc>
          <w:tcPr>
            <w:tcW w:w="3683" w:type="dxa"/>
          </w:tcPr>
          <w:p>
            <w:pPr>
              <w:spacing w:line="400" w:lineRule="exact"/>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会务公司要根据采购人的要求提供会议的整体设计与策划，主要需求如下:</w:t>
            </w:r>
          </w:p>
          <w:p>
            <w:pPr>
              <w:spacing w:line="400" w:lineRule="exact"/>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1.会场搭建与布置：会场内舞台布置、LED屏搭建、灯光音响搭建等；</w:t>
            </w:r>
          </w:p>
          <w:p>
            <w:pPr>
              <w:spacing w:line="400" w:lineRule="exact"/>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2.设计制作：会议背景设计、会议资料设计等；</w:t>
            </w:r>
          </w:p>
          <w:p>
            <w:pPr>
              <w:spacing w:line="400" w:lineRule="exact"/>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外场展示区搭建及物料：签到台喷绘、日程喷绘、各类展架等。</w:t>
            </w:r>
            <w:bookmarkStart w:id="0" w:name="_GoBack"/>
            <w:bookmarkEnd w:id="0"/>
          </w:p>
          <w:p>
            <w:pPr>
              <w:spacing w:line="40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会议场地更换，会场布置等所有相关工作跟随调整。</w:t>
            </w:r>
          </w:p>
        </w:tc>
        <w:tc>
          <w:tcPr>
            <w:tcW w:w="1365" w:type="dxa"/>
            <w:vAlign w:val="center"/>
          </w:tcPr>
          <w:p>
            <w:pPr>
              <w:jc w:val="center"/>
              <w:rPr>
                <w:rFonts w:hint="default" w:ascii="方正仿宋_GBK" w:hAnsi="仿宋"/>
                <w:szCs w:val="21"/>
                <w:lang w:val="en-US" w:eastAsia="zh-CN"/>
              </w:rPr>
            </w:pPr>
            <w:r>
              <w:rPr>
                <w:rFonts w:hint="eastAsia" w:ascii="方正仿宋_GBK" w:hAnsi="仿宋"/>
                <w:szCs w:val="21"/>
                <w:lang w:val="en-US" w:eastAsia="zh-CN"/>
              </w:rPr>
              <w:t>45</w:t>
            </w:r>
          </w:p>
        </w:tc>
        <w:tc>
          <w:tcPr>
            <w:tcW w:w="829" w:type="dxa"/>
            <w:vAlign w:val="center"/>
          </w:tcPr>
          <w:p>
            <w:pPr>
              <w:rPr>
                <w:rFonts w:hint="default" w:eastAsia="方正仿宋_GBK"/>
                <w:lang w:val="en-US" w:eastAsia="zh-CN"/>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刘老师</w:t>
            </w:r>
          </w:p>
          <w:p>
            <w:pPr>
              <w:spacing w:line="400" w:lineRule="exact"/>
              <w:jc w:val="center"/>
              <w:rPr>
                <w:rFonts w:hint="default"/>
                <w:lang w:val="en-US" w:eastAsia="zh-CN"/>
              </w:rPr>
            </w:pPr>
            <w:r>
              <w:rPr>
                <w:rFonts w:hint="eastAsia" w:ascii="宋体" w:hAnsi="宋体" w:eastAsia="宋体" w:cs="宋体"/>
                <w:sz w:val="21"/>
                <w:szCs w:val="21"/>
                <w:lang w:val="en-US" w:eastAsia="zh-CN"/>
              </w:rPr>
              <w:t>023-65326018</w:t>
            </w:r>
          </w:p>
        </w:tc>
      </w:tr>
    </w:tbl>
    <w:p>
      <w:pPr>
        <w:spacing w:line="600" w:lineRule="exact"/>
        <w:ind w:firstLine="629"/>
        <w:rPr>
          <w:rFonts w:hint="eastAsia"/>
          <w:szCs w:val="32"/>
        </w:rPr>
      </w:pPr>
      <w:r>
        <w:rPr>
          <w:rFonts w:hint="eastAsia"/>
          <w:szCs w:val="32"/>
        </w:rPr>
        <w:t>本次公开的采购意向是本单位采购工作的初步安</w:t>
      </w:r>
    </w:p>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4</w:t>
      </w:r>
      <w:r>
        <w:rPr>
          <w:rFonts w:hint="eastAsia"/>
          <w:szCs w:val="32"/>
        </w:rPr>
        <w:t xml:space="preserve">月 </w:t>
      </w:r>
      <w:r>
        <w:rPr>
          <w:rFonts w:hint="eastAsia"/>
          <w:szCs w:val="32"/>
          <w:lang w:val="en-US" w:eastAsia="zh-CN"/>
        </w:rPr>
        <w:t>10</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840DE463-7F5D-4217-AF7D-176E9D2F9949}"/>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06E53104-DFBF-45CC-AA47-2207312DD948}"/>
  </w:font>
  <w:font w:name="仿宋">
    <w:panose1 w:val="02010609060101010101"/>
    <w:charset w:val="86"/>
    <w:family w:val="modern"/>
    <w:pitch w:val="default"/>
    <w:sig w:usb0="800002BF" w:usb1="38CF7CFA" w:usb2="00000016" w:usb3="00000000" w:csb0="00040001" w:csb1="00000000"/>
    <w:embedRegular r:id="rId3" w:fontKey="{3C63FEB4-4E1B-43BF-87D7-D3535B264B25}"/>
  </w:font>
  <w:font w:name="方正黑体_GBK">
    <w:panose1 w:val="03000509000000000000"/>
    <w:charset w:val="86"/>
    <w:family w:val="script"/>
    <w:pitch w:val="default"/>
    <w:sig w:usb0="00000001" w:usb1="080E0000" w:usb2="00000000" w:usb3="00000000" w:csb0="00040000" w:csb1="00000000"/>
    <w:embedRegular r:id="rId4" w:fontKey="{0C9C0C55-37CC-413D-964B-18C10DFE4648}"/>
  </w:font>
  <w:font w:name="Helvetica">
    <w:altName w:val="Arial"/>
    <w:panose1 w:val="020B0604020202020204"/>
    <w:charset w:val="00"/>
    <w:family w:val="swiss"/>
    <w:pitch w:val="default"/>
    <w:sig w:usb0="00000000" w:usb1="00000000" w:usb2="00000009" w:usb3="00000000" w:csb0="000001FF" w:csb1="00000000"/>
    <w:embedRegular r:id="rId5" w:fontKey="{D0688E14-DE3E-4DAF-ABDE-6AD6C0AD9C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7871EE7"/>
    <w:rsid w:val="086F1ECB"/>
    <w:rsid w:val="0A060C12"/>
    <w:rsid w:val="0BB84CA9"/>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E2B59B7"/>
    <w:rsid w:val="30C16364"/>
    <w:rsid w:val="320329AC"/>
    <w:rsid w:val="326138C3"/>
    <w:rsid w:val="34641E54"/>
    <w:rsid w:val="3558589D"/>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C705C3"/>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FA96332"/>
    <w:rsid w:val="60060EFA"/>
    <w:rsid w:val="60074DC4"/>
    <w:rsid w:val="602D64E5"/>
    <w:rsid w:val="612A47E8"/>
    <w:rsid w:val="6340656D"/>
    <w:rsid w:val="643D5113"/>
    <w:rsid w:val="646B1D1C"/>
    <w:rsid w:val="64720CC4"/>
    <w:rsid w:val="65FF3636"/>
    <w:rsid w:val="675967C5"/>
    <w:rsid w:val="67D13E51"/>
    <w:rsid w:val="6A8E0E2A"/>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 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 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335</Words>
  <Characters>361</Characters>
  <Lines>9</Lines>
  <Paragraphs>2</Paragraphs>
  <TotalTime>6</TotalTime>
  <ScaleCrop>false</ScaleCrop>
  <LinksUpToDate>false</LinksUpToDate>
  <CharactersWithSpaces>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2023-04-10T07:06:34Z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6395C9E04D6645BA8FFC4AC139351C7A_13</vt:lpwstr>
  </property>
</Properties>
</file>