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94212">
      <w:pPr>
        <w:jc w:val="center"/>
        <w:rPr>
          <w:rFonts w:hint="eastAsia" w:eastAsia="方正小标宋_GBK"/>
          <w:sz w:val="44"/>
          <w:szCs w:val="44"/>
        </w:rPr>
      </w:pPr>
      <w:r>
        <w:rPr>
          <w:rFonts w:hint="eastAsia" w:eastAsia="方正小标宋_GBK"/>
          <w:sz w:val="44"/>
          <w:szCs w:val="44"/>
        </w:rPr>
        <w:t>重庆大学附属肿瘤医院采购意向</w:t>
      </w:r>
    </w:p>
    <w:p w14:paraId="6FA48832">
      <w:pPr>
        <w:jc w:val="center"/>
        <w:rPr>
          <w:szCs w:val="32"/>
        </w:rPr>
      </w:pPr>
    </w:p>
    <w:p w14:paraId="7308E040">
      <w:pPr>
        <w:ind w:firstLine="630"/>
        <w:rPr>
          <w:rFonts w:hint="eastAsia"/>
          <w:szCs w:val="32"/>
        </w:rPr>
      </w:pPr>
      <w:r>
        <w:rPr>
          <w:rFonts w:hint="eastAsia"/>
          <w:szCs w:val="32"/>
        </w:rPr>
        <w:t>为便于供应商及时了解医院采购信息，根据医院相关规定，现将</w:t>
      </w:r>
      <w:r>
        <w:rPr>
          <w:rFonts w:hint="eastAsia"/>
          <w:szCs w:val="32"/>
          <w:u w:val="single"/>
        </w:rPr>
        <w:t>重庆大学附属肿瘤医院</w:t>
      </w:r>
      <w:bookmarkStart w:id="0" w:name="_GoBack"/>
      <w:bookmarkEnd w:id="0"/>
      <w:r>
        <w:rPr>
          <w:rFonts w:hint="eastAsia"/>
          <w:szCs w:val="32"/>
        </w:rPr>
        <w:t>202</w:t>
      </w:r>
      <w:r>
        <w:rPr>
          <w:rFonts w:hint="eastAsia"/>
          <w:szCs w:val="32"/>
          <w:lang w:val="en-US" w:eastAsia="zh-CN"/>
        </w:rPr>
        <w:t>5</w:t>
      </w:r>
      <w:r>
        <w:rPr>
          <w:rFonts w:hint="eastAsia"/>
          <w:szCs w:val="32"/>
        </w:rPr>
        <w:t>年</w:t>
      </w:r>
      <w:r>
        <w:rPr>
          <w:rFonts w:hint="eastAsia"/>
          <w:szCs w:val="32"/>
          <w:lang w:val="en-US" w:eastAsia="zh-CN"/>
        </w:rPr>
        <w:t>6月</w:t>
      </w:r>
      <w:r>
        <w:rPr>
          <w:rFonts w:hint="eastAsia"/>
          <w:szCs w:val="32"/>
        </w:rPr>
        <w:t>采购意向公开如下：</w:t>
      </w:r>
    </w:p>
    <w:tbl>
      <w:tblPr>
        <w:tblStyle w:val="15"/>
        <w:tblW w:w="56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662"/>
        <w:gridCol w:w="4567"/>
        <w:gridCol w:w="1209"/>
        <w:gridCol w:w="1336"/>
        <w:gridCol w:w="881"/>
      </w:tblGrid>
      <w:tr w14:paraId="30BD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6" w:type="pct"/>
            <w:noWrap w:val="0"/>
            <w:vAlign w:val="center"/>
          </w:tcPr>
          <w:p w14:paraId="61E7A6E2">
            <w:pPr>
              <w:spacing w:line="400" w:lineRule="exact"/>
              <w:jc w:val="center"/>
              <w:rPr>
                <w:rFonts w:hint="eastAsia" w:eastAsia="方正黑体_GBK"/>
                <w:sz w:val="28"/>
                <w:szCs w:val="28"/>
              </w:rPr>
            </w:pPr>
            <w:r>
              <w:rPr>
                <w:rFonts w:hint="eastAsia" w:eastAsia="方正黑体_GBK"/>
                <w:sz w:val="28"/>
                <w:szCs w:val="28"/>
              </w:rPr>
              <w:t>序号</w:t>
            </w:r>
          </w:p>
        </w:tc>
        <w:tc>
          <w:tcPr>
            <w:tcW w:w="811" w:type="pct"/>
            <w:noWrap w:val="0"/>
            <w:vAlign w:val="center"/>
          </w:tcPr>
          <w:p w14:paraId="2E50E2B4">
            <w:pPr>
              <w:spacing w:line="400" w:lineRule="exact"/>
              <w:jc w:val="center"/>
              <w:rPr>
                <w:rFonts w:hint="eastAsia" w:eastAsia="方正黑体_GBK"/>
                <w:sz w:val="28"/>
                <w:szCs w:val="28"/>
              </w:rPr>
            </w:pPr>
            <w:r>
              <w:rPr>
                <w:rFonts w:hint="eastAsia" w:eastAsia="方正黑体_GBK"/>
                <w:sz w:val="28"/>
                <w:szCs w:val="28"/>
              </w:rPr>
              <w:t>采购项目名称</w:t>
            </w:r>
          </w:p>
        </w:tc>
        <w:tc>
          <w:tcPr>
            <w:tcW w:w="2229" w:type="pct"/>
            <w:noWrap w:val="0"/>
            <w:vAlign w:val="center"/>
          </w:tcPr>
          <w:p w14:paraId="548AB465">
            <w:pPr>
              <w:spacing w:line="400" w:lineRule="exact"/>
              <w:jc w:val="center"/>
              <w:rPr>
                <w:rFonts w:hint="eastAsia" w:eastAsia="方正黑体_GBK"/>
                <w:sz w:val="28"/>
                <w:szCs w:val="28"/>
              </w:rPr>
            </w:pPr>
            <w:r>
              <w:rPr>
                <w:rFonts w:hint="eastAsia" w:eastAsia="方正黑体_GBK"/>
                <w:sz w:val="28"/>
                <w:szCs w:val="28"/>
              </w:rPr>
              <w:t>采购需求概况</w:t>
            </w:r>
          </w:p>
        </w:tc>
        <w:tc>
          <w:tcPr>
            <w:tcW w:w="590" w:type="pct"/>
            <w:noWrap w:val="0"/>
            <w:vAlign w:val="center"/>
          </w:tcPr>
          <w:p w14:paraId="305B8BA1">
            <w:pPr>
              <w:spacing w:line="400" w:lineRule="exact"/>
              <w:jc w:val="center"/>
              <w:rPr>
                <w:rFonts w:hint="eastAsia" w:eastAsia="方正黑体_GBK"/>
                <w:sz w:val="28"/>
                <w:szCs w:val="28"/>
              </w:rPr>
            </w:pPr>
            <w:r>
              <w:rPr>
                <w:rFonts w:hint="eastAsia" w:eastAsia="方正黑体_GBK"/>
                <w:sz w:val="28"/>
                <w:szCs w:val="28"/>
              </w:rPr>
              <w:t>预算金额</w:t>
            </w:r>
          </w:p>
          <w:p w14:paraId="69909847">
            <w:pPr>
              <w:spacing w:line="400" w:lineRule="exact"/>
              <w:jc w:val="center"/>
              <w:rPr>
                <w:rFonts w:hint="eastAsia" w:eastAsia="方正黑体_GBK"/>
                <w:sz w:val="28"/>
                <w:szCs w:val="28"/>
              </w:rPr>
            </w:pPr>
            <w:r>
              <w:rPr>
                <w:rFonts w:hint="eastAsia" w:eastAsia="方正黑体_GBK"/>
                <w:sz w:val="28"/>
                <w:szCs w:val="28"/>
              </w:rPr>
              <w:t>（万元）</w:t>
            </w:r>
          </w:p>
        </w:tc>
        <w:tc>
          <w:tcPr>
            <w:tcW w:w="652" w:type="pct"/>
            <w:noWrap w:val="0"/>
            <w:vAlign w:val="center"/>
          </w:tcPr>
          <w:p w14:paraId="18779C1D">
            <w:pPr>
              <w:spacing w:line="400" w:lineRule="exact"/>
              <w:jc w:val="center"/>
              <w:rPr>
                <w:rFonts w:hint="eastAsia" w:eastAsia="方正黑体_GBK"/>
                <w:sz w:val="28"/>
                <w:szCs w:val="28"/>
              </w:rPr>
            </w:pPr>
          </w:p>
          <w:p w14:paraId="5C087DDC">
            <w:pPr>
              <w:spacing w:line="400" w:lineRule="exact"/>
              <w:jc w:val="center"/>
              <w:rPr>
                <w:rFonts w:hint="eastAsia" w:eastAsia="方正黑体_GBK"/>
                <w:sz w:val="28"/>
                <w:szCs w:val="28"/>
              </w:rPr>
            </w:pPr>
            <w:r>
              <w:rPr>
                <w:rFonts w:hint="eastAsia" w:eastAsia="方正黑体_GBK"/>
                <w:sz w:val="28"/>
                <w:szCs w:val="28"/>
              </w:rPr>
              <w:t>预计采购时间</w:t>
            </w:r>
          </w:p>
          <w:p w14:paraId="4C8DFD04">
            <w:pPr>
              <w:spacing w:line="400" w:lineRule="exact"/>
              <w:jc w:val="center"/>
              <w:rPr>
                <w:rFonts w:hint="eastAsia" w:eastAsia="方正黑体_GBK"/>
                <w:sz w:val="28"/>
                <w:szCs w:val="28"/>
              </w:rPr>
            </w:pPr>
          </w:p>
        </w:tc>
        <w:tc>
          <w:tcPr>
            <w:tcW w:w="430" w:type="pct"/>
            <w:noWrap w:val="0"/>
            <w:vAlign w:val="center"/>
          </w:tcPr>
          <w:p w14:paraId="797B99C0">
            <w:pPr>
              <w:spacing w:line="400" w:lineRule="exact"/>
              <w:jc w:val="center"/>
              <w:rPr>
                <w:rFonts w:hint="eastAsia" w:eastAsia="方正黑体_GBK"/>
                <w:sz w:val="28"/>
                <w:szCs w:val="28"/>
              </w:rPr>
            </w:pPr>
            <w:r>
              <w:rPr>
                <w:rFonts w:hint="eastAsia" w:eastAsia="方正黑体_GBK"/>
                <w:sz w:val="28"/>
                <w:szCs w:val="28"/>
              </w:rPr>
              <w:t>备注</w:t>
            </w:r>
          </w:p>
        </w:tc>
      </w:tr>
      <w:tr w14:paraId="3DF4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4" w:hRule="atLeast"/>
        </w:trPr>
        <w:tc>
          <w:tcPr>
            <w:tcW w:w="286" w:type="pct"/>
            <w:noWrap w:val="0"/>
            <w:vAlign w:val="center"/>
          </w:tcPr>
          <w:p w14:paraId="50C7CBCB">
            <w:pPr>
              <w:spacing w:line="400" w:lineRule="exact"/>
              <w:rPr>
                <w:rFonts w:hint="eastAsia"/>
                <w:sz w:val="28"/>
                <w:szCs w:val="28"/>
              </w:rPr>
            </w:pPr>
            <w:r>
              <w:rPr>
                <w:rFonts w:hint="eastAsia"/>
                <w:sz w:val="28"/>
                <w:szCs w:val="28"/>
              </w:rPr>
              <w:t>1</w:t>
            </w:r>
          </w:p>
        </w:tc>
        <w:tc>
          <w:tcPr>
            <w:tcW w:w="811" w:type="pct"/>
            <w:noWrap w:val="0"/>
            <w:vAlign w:val="center"/>
          </w:tcPr>
          <w:p w14:paraId="52907A15">
            <w:pPr>
              <w:numPr>
                <w:ilvl w:val="0"/>
                <w:numId w:val="0"/>
              </w:numPr>
              <w:jc w:val="left"/>
              <w:rPr>
                <w:rFonts w:hint="eastAsia" w:ascii="Times New Roman" w:hAnsi="Times New Roman" w:cs="Times New Roman"/>
                <w:sz w:val="28"/>
                <w:szCs w:val="28"/>
                <w:lang w:val="en-US" w:eastAsia="zh-CN"/>
              </w:rPr>
            </w:pPr>
            <w:r>
              <w:rPr>
                <w:rFonts w:hint="eastAsia"/>
                <w:sz w:val="28"/>
                <w:szCs w:val="36"/>
                <w:lang w:val="en-US" w:eastAsia="zh-CN"/>
              </w:rPr>
              <w:t>血液系统肿瘤的二代测序及基因检测</w:t>
            </w:r>
          </w:p>
        </w:tc>
        <w:tc>
          <w:tcPr>
            <w:tcW w:w="2229" w:type="pct"/>
            <w:noWrap w:val="0"/>
            <w:vAlign w:val="top"/>
          </w:tcPr>
          <w:p w14:paraId="4C409177">
            <w:pPr>
              <w:numPr>
                <w:ilvl w:val="0"/>
                <w:numId w:val="2"/>
              </w:numPr>
              <w:spacing w:line="400" w:lineRule="exact"/>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外送机构实验室需具备相关行业资质（实验室需通过CAP或CLIA或ISO15189等认证），进行规范检测。</w:t>
            </w:r>
          </w:p>
          <w:p w14:paraId="6A895462">
            <w:pPr>
              <w:numPr>
                <w:ilvl w:val="0"/>
                <w:numId w:val="2"/>
              </w:numPr>
              <w:spacing w:line="400" w:lineRule="exact"/>
              <w:rPr>
                <w:rFonts w:hint="default"/>
                <w:lang w:val="en-US" w:eastAsia="zh-CN"/>
              </w:rPr>
            </w:pPr>
            <w:r>
              <w:rPr>
                <w:rFonts w:hint="eastAsia" w:ascii="Times New Roman" w:hAnsi="Times New Roman" w:cs="Times New Roman"/>
                <w:sz w:val="28"/>
                <w:szCs w:val="28"/>
                <w:lang w:val="en-US" w:eastAsia="zh-CN"/>
              </w:rPr>
              <w:t>检测标本由我院病理科提供，外送机构负责标本的取送、检测、数据存档、下机数据及报告的回传等。外送检测全过程应严格按照相关文件规定实施。</w:t>
            </w:r>
          </w:p>
          <w:p w14:paraId="1E280D18">
            <w:pPr>
              <w:pStyle w:val="2"/>
              <w:ind w:left="0" w:leftChars="0" w:firstLine="0" w:firstLineChars="0"/>
              <w:rPr>
                <w:rFonts w:hint="default"/>
                <w:lang w:val="en-US" w:eastAsia="zh-CN"/>
              </w:rPr>
            </w:pPr>
            <w:r>
              <w:rPr>
                <w:rFonts w:hint="eastAsia" w:ascii="Times New Roman" w:hAnsi="Times New Roman" w:cs="Times New Roman"/>
                <w:sz w:val="28"/>
                <w:szCs w:val="28"/>
                <w:lang w:val="en-US" w:eastAsia="zh-CN"/>
              </w:rPr>
              <w:t>3.自外送机构收到标本后开始至报告回传到我院病理科不超过10个工作日。因检测失败需重新采集样本，通知时间不超过1个工作日。</w:t>
            </w:r>
          </w:p>
        </w:tc>
        <w:tc>
          <w:tcPr>
            <w:tcW w:w="590" w:type="pct"/>
            <w:noWrap w:val="0"/>
            <w:vAlign w:val="center"/>
          </w:tcPr>
          <w:p w14:paraId="4948DE7F">
            <w:pPr>
              <w:spacing w:line="400" w:lineRule="exact"/>
              <w:jc w:val="center"/>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w:t>
            </w:r>
          </w:p>
        </w:tc>
        <w:tc>
          <w:tcPr>
            <w:tcW w:w="652" w:type="pct"/>
            <w:noWrap w:val="0"/>
            <w:vAlign w:val="center"/>
          </w:tcPr>
          <w:p w14:paraId="27DDC719">
            <w:pPr>
              <w:spacing w:line="400" w:lineRule="exact"/>
              <w:jc w:val="center"/>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6</w:t>
            </w:r>
            <w:r>
              <w:rPr>
                <w:rFonts w:hint="eastAsia" w:ascii="Times New Roman" w:hAnsi="Times New Roman" w:cs="Times New Roman"/>
                <w:sz w:val="28"/>
                <w:szCs w:val="28"/>
              </w:rPr>
              <w:t>月</w:t>
            </w:r>
          </w:p>
        </w:tc>
        <w:tc>
          <w:tcPr>
            <w:tcW w:w="430" w:type="pct"/>
            <w:noWrap w:val="0"/>
            <w:vAlign w:val="top"/>
          </w:tcPr>
          <w:p w14:paraId="2A35E37C">
            <w:pPr>
              <w:spacing w:line="400" w:lineRule="exact"/>
              <w:jc w:val="center"/>
              <w:rPr>
                <w:rFonts w:hint="eastAsia"/>
                <w:sz w:val="28"/>
                <w:szCs w:val="28"/>
              </w:rPr>
            </w:pPr>
          </w:p>
          <w:p w14:paraId="2FFCEDE4">
            <w:pPr>
              <w:spacing w:line="400" w:lineRule="exact"/>
              <w:rPr>
                <w:rFonts w:hint="eastAsia"/>
                <w:sz w:val="28"/>
                <w:szCs w:val="28"/>
              </w:rPr>
            </w:pPr>
          </w:p>
        </w:tc>
      </w:tr>
      <w:tr w14:paraId="5E63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6" w:type="pct"/>
            <w:noWrap w:val="0"/>
            <w:vAlign w:val="center"/>
          </w:tcPr>
          <w:p w14:paraId="1E32D3EB">
            <w:pPr>
              <w:spacing w:line="400" w:lineRule="exact"/>
              <w:rPr>
                <w:rFonts w:hint="eastAsia" w:eastAsia="方正仿宋_GBK"/>
                <w:sz w:val="28"/>
                <w:szCs w:val="28"/>
                <w:lang w:val="en-US" w:eastAsia="zh-CN"/>
              </w:rPr>
            </w:pPr>
            <w:r>
              <w:rPr>
                <w:rFonts w:hint="eastAsia"/>
                <w:sz w:val="28"/>
                <w:szCs w:val="28"/>
                <w:lang w:val="en-US" w:eastAsia="zh-CN"/>
              </w:rPr>
              <w:t>2</w:t>
            </w:r>
          </w:p>
        </w:tc>
        <w:tc>
          <w:tcPr>
            <w:tcW w:w="811" w:type="pct"/>
            <w:noWrap w:val="0"/>
            <w:vAlign w:val="center"/>
          </w:tcPr>
          <w:p w14:paraId="600B67EE">
            <w:pPr>
              <w:numPr>
                <w:ilvl w:val="0"/>
                <w:numId w:val="0"/>
              </w:numPr>
              <w:jc w:val="left"/>
              <w:rPr>
                <w:rFonts w:hint="eastAsia" w:ascii="Times New Roman" w:hAnsi="Times New Roman" w:cs="Times New Roman"/>
                <w:sz w:val="28"/>
                <w:szCs w:val="28"/>
                <w:lang w:val="en-US" w:eastAsia="zh-CN"/>
              </w:rPr>
            </w:pPr>
            <w:r>
              <w:rPr>
                <w:rFonts w:hint="eastAsia"/>
                <w:sz w:val="28"/>
                <w:szCs w:val="36"/>
                <w:lang w:val="en-US" w:eastAsia="zh-CN"/>
              </w:rPr>
              <w:t>微小残留病变检测（MRD）</w:t>
            </w:r>
          </w:p>
        </w:tc>
        <w:tc>
          <w:tcPr>
            <w:tcW w:w="2229" w:type="pct"/>
            <w:noWrap w:val="0"/>
            <w:vAlign w:val="top"/>
          </w:tcPr>
          <w:p w14:paraId="20718B51">
            <w:pPr>
              <w:numPr>
                <w:ilvl w:val="0"/>
                <w:numId w:val="0"/>
              </w:numPr>
              <w:spacing w:line="400" w:lineRule="exact"/>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1外送机构实验室需具备相关行业资质（实验室需通过CAP或CLIA或ISO15189等认证），进行规范检测。</w:t>
            </w:r>
          </w:p>
          <w:p w14:paraId="69BDEDB9">
            <w:pPr>
              <w:numPr>
                <w:ilvl w:val="0"/>
                <w:numId w:val="0"/>
              </w:numPr>
              <w:spacing w:line="400" w:lineRule="exact"/>
              <w:rPr>
                <w:rFonts w:hint="default"/>
                <w:lang w:val="en-US" w:eastAsia="zh-CN"/>
              </w:rPr>
            </w:pPr>
            <w:r>
              <w:rPr>
                <w:rFonts w:hint="eastAsia" w:ascii="Times New Roman" w:hAnsi="Times New Roman" w:cs="Times New Roman"/>
                <w:sz w:val="28"/>
                <w:szCs w:val="28"/>
                <w:lang w:val="en-US" w:eastAsia="zh-CN"/>
              </w:rPr>
              <w:t>2.检测标本由我院病理科提供，外送机构负责标本的取送、检测、数据存档、下机数据及报告的回传等。外送检测全过程应严格按照相关文件规定实施。</w:t>
            </w:r>
          </w:p>
          <w:p w14:paraId="73B7055D">
            <w:pPr>
              <w:spacing w:line="400" w:lineRule="exac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3.自外送机构收到标本后开始至报告回传到我院病理科不超过10个工作日。因检测失败需重新采集样本，通知时间不超过1个工作日。</w:t>
            </w:r>
          </w:p>
        </w:tc>
        <w:tc>
          <w:tcPr>
            <w:tcW w:w="590" w:type="pct"/>
            <w:noWrap w:val="0"/>
            <w:vAlign w:val="center"/>
          </w:tcPr>
          <w:p w14:paraId="5E530633">
            <w:pPr>
              <w:spacing w:line="400" w:lineRule="exact"/>
              <w:jc w:val="center"/>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w:t>
            </w:r>
          </w:p>
        </w:tc>
        <w:tc>
          <w:tcPr>
            <w:tcW w:w="652" w:type="pct"/>
            <w:noWrap w:val="0"/>
            <w:vAlign w:val="center"/>
          </w:tcPr>
          <w:p w14:paraId="1801C935">
            <w:pPr>
              <w:spacing w:line="400" w:lineRule="exact"/>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6</w:t>
            </w:r>
            <w:r>
              <w:rPr>
                <w:rFonts w:hint="eastAsia" w:ascii="Times New Roman" w:hAnsi="Times New Roman" w:cs="Times New Roman"/>
                <w:sz w:val="28"/>
                <w:szCs w:val="28"/>
              </w:rPr>
              <w:t>月</w:t>
            </w:r>
          </w:p>
        </w:tc>
        <w:tc>
          <w:tcPr>
            <w:tcW w:w="430" w:type="pct"/>
            <w:noWrap w:val="0"/>
            <w:vAlign w:val="top"/>
          </w:tcPr>
          <w:p w14:paraId="60C1C61D">
            <w:pPr>
              <w:spacing w:line="400" w:lineRule="exact"/>
              <w:rPr>
                <w:rFonts w:hint="eastAsia"/>
                <w:sz w:val="28"/>
                <w:szCs w:val="28"/>
              </w:rPr>
            </w:pPr>
          </w:p>
        </w:tc>
      </w:tr>
      <w:tr w14:paraId="6899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286" w:type="pct"/>
            <w:noWrap w:val="0"/>
            <w:vAlign w:val="center"/>
          </w:tcPr>
          <w:p w14:paraId="572A993C">
            <w:pPr>
              <w:spacing w:line="400" w:lineRule="exact"/>
              <w:rPr>
                <w:rFonts w:hint="default" w:eastAsia="方正仿宋_GBK"/>
                <w:sz w:val="28"/>
                <w:szCs w:val="28"/>
                <w:lang w:val="en-US" w:eastAsia="zh-CN"/>
              </w:rPr>
            </w:pPr>
            <w:r>
              <w:rPr>
                <w:rFonts w:hint="eastAsia"/>
                <w:sz w:val="28"/>
                <w:szCs w:val="28"/>
                <w:lang w:val="en-US" w:eastAsia="zh-CN"/>
              </w:rPr>
              <w:t>3</w:t>
            </w:r>
          </w:p>
        </w:tc>
        <w:tc>
          <w:tcPr>
            <w:tcW w:w="811" w:type="pct"/>
            <w:noWrap w:val="0"/>
            <w:vAlign w:val="center"/>
          </w:tcPr>
          <w:p w14:paraId="10A4F001">
            <w:pPr>
              <w:numPr>
                <w:ilvl w:val="0"/>
                <w:numId w:val="0"/>
              </w:numPr>
              <w:jc w:val="left"/>
              <w:rPr>
                <w:rFonts w:hint="eastAsia" w:ascii="Times New Roman" w:hAnsi="Times New Roman" w:cs="Times New Roman"/>
                <w:sz w:val="28"/>
                <w:szCs w:val="28"/>
                <w:lang w:val="en-US" w:eastAsia="zh-CN"/>
              </w:rPr>
            </w:pPr>
            <w:r>
              <w:rPr>
                <w:rFonts w:hint="eastAsia"/>
                <w:sz w:val="28"/>
                <w:szCs w:val="36"/>
                <w:lang w:val="en-US" w:eastAsia="zh-CN"/>
              </w:rPr>
              <w:t>血液系统肿瘤基因拷贝数变异检测（CNA）</w:t>
            </w:r>
          </w:p>
        </w:tc>
        <w:tc>
          <w:tcPr>
            <w:tcW w:w="2229" w:type="pct"/>
            <w:noWrap w:val="0"/>
            <w:vAlign w:val="top"/>
          </w:tcPr>
          <w:p w14:paraId="0F577422">
            <w:pPr>
              <w:numPr>
                <w:ilvl w:val="0"/>
                <w:numId w:val="0"/>
              </w:numPr>
              <w:spacing w:line="400" w:lineRule="exact"/>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1.外送机构实验室需具备相关行业资质（实验室需通过CAP或CLIA或ISO15189等认证），进行规范检测。</w:t>
            </w:r>
          </w:p>
          <w:p w14:paraId="0349EA64">
            <w:pPr>
              <w:numPr>
                <w:ilvl w:val="0"/>
                <w:numId w:val="0"/>
              </w:numPr>
              <w:spacing w:line="400" w:lineRule="exact"/>
              <w:rPr>
                <w:rFonts w:hint="default"/>
                <w:lang w:val="en-US" w:eastAsia="zh-CN"/>
              </w:rPr>
            </w:pPr>
            <w:r>
              <w:rPr>
                <w:rFonts w:hint="eastAsia" w:ascii="Times New Roman" w:hAnsi="Times New Roman" w:cs="Times New Roman"/>
                <w:sz w:val="28"/>
                <w:szCs w:val="28"/>
                <w:lang w:val="en-US" w:eastAsia="zh-CN"/>
              </w:rPr>
              <w:t>2.检测标本由我院病理科提供，外送机构负责标本的取送、检测、数据存档、下机数据及报告的回传等。外送检测全过程应严格按照相关文件规定实施。</w:t>
            </w:r>
          </w:p>
          <w:p w14:paraId="524C88D9">
            <w:pPr>
              <w:spacing w:line="400" w:lineRule="exac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3.自外送机构收到标本后开始至报告回传到我院病理科不超过10个工作日。因检测失败需重新采集样本，通知时间不超过1个工作日。</w:t>
            </w:r>
          </w:p>
        </w:tc>
        <w:tc>
          <w:tcPr>
            <w:tcW w:w="590" w:type="pct"/>
            <w:noWrap w:val="0"/>
            <w:vAlign w:val="center"/>
          </w:tcPr>
          <w:p w14:paraId="3FDD2826">
            <w:pPr>
              <w:spacing w:line="400" w:lineRule="exact"/>
              <w:jc w:val="center"/>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w:t>
            </w:r>
          </w:p>
        </w:tc>
        <w:tc>
          <w:tcPr>
            <w:tcW w:w="652" w:type="pct"/>
            <w:noWrap w:val="0"/>
            <w:vAlign w:val="center"/>
          </w:tcPr>
          <w:p w14:paraId="5146503E">
            <w:pPr>
              <w:spacing w:line="400" w:lineRule="exact"/>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6</w:t>
            </w:r>
            <w:r>
              <w:rPr>
                <w:rFonts w:hint="eastAsia" w:ascii="Times New Roman" w:hAnsi="Times New Roman" w:cs="Times New Roman"/>
                <w:sz w:val="28"/>
                <w:szCs w:val="28"/>
              </w:rPr>
              <w:t>月</w:t>
            </w:r>
          </w:p>
        </w:tc>
        <w:tc>
          <w:tcPr>
            <w:tcW w:w="430" w:type="pct"/>
            <w:noWrap w:val="0"/>
            <w:vAlign w:val="top"/>
          </w:tcPr>
          <w:p w14:paraId="19EA23B9">
            <w:pPr>
              <w:spacing w:line="400" w:lineRule="exact"/>
              <w:rPr>
                <w:rFonts w:hint="eastAsia"/>
                <w:sz w:val="28"/>
                <w:szCs w:val="28"/>
              </w:rPr>
            </w:pPr>
          </w:p>
        </w:tc>
      </w:tr>
      <w:tr w14:paraId="5D29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86" w:type="pct"/>
            <w:noWrap w:val="0"/>
            <w:vAlign w:val="center"/>
          </w:tcPr>
          <w:p w14:paraId="7BA87FC0">
            <w:pPr>
              <w:spacing w:line="400" w:lineRule="exact"/>
              <w:rPr>
                <w:rFonts w:hint="eastAsia" w:eastAsia="方正仿宋_GBK"/>
                <w:sz w:val="28"/>
                <w:szCs w:val="28"/>
                <w:lang w:val="en-US" w:eastAsia="zh-CN"/>
              </w:rPr>
            </w:pPr>
            <w:r>
              <w:rPr>
                <w:rFonts w:hint="eastAsia"/>
                <w:sz w:val="28"/>
                <w:szCs w:val="28"/>
                <w:lang w:val="en-US" w:eastAsia="zh-CN"/>
              </w:rPr>
              <w:t>4</w:t>
            </w:r>
          </w:p>
        </w:tc>
        <w:tc>
          <w:tcPr>
            <w:tcW w:w="811" w:type="pct"/>
            <w:noWrap w:val="0"/>
            <w:vAlign w:val="center"/>
          </w:tcPr>
          <w:p w14:paraId="69FB650D">
            <w:pPr>
              <w:numPr>
                <w:ilvl w:val="0"/>
                <w:numId w:val="0"/>
              </w:numPr>
              <w:jc w:val="left"/>
              <w:rPr>
                <w:rFonts w:hint="eastAsia" w:ascii="Times New Roman" w:hAnsi="Times New Roman" w:cs="Times New Roman"/>
                <w:sz w:val="28"/>
                <w:szCs w:val="28"/>
                <w:lang w:val="en-US" w:eastAsia="zh-CN"/>
              </w:rPr>
            </w:pPr>
            <w:r>
              <w:rPr>
                <w:rFonts w:hint="eastAsia"/>
                <w:sz w:val="28"/>
                <w:szCs w:val="36"/>
                <w:lang w:val="en-US" w:eastAsia="zh-CN"/>
              </w:rPr>
              <w:t>T细胞受体（TCR）基因重排检测B细胞Ig基因重排检测</w:t>
            </w:r>
          </w:p>
        </w:tc>
        <w:tc>
          <w:tcPr>
            <w:tcW w:w="2229" w:type="pct"/>
            <w:noWrap w:val="0"/>
            <w:vAlign w:val="top"/>
          </w:tcPr>
          <w:p w14:paraId="21E353AB">
            <w:pPr>
              <w:numPr>
                <w:ilvl w:val="0"/>
                <w:numId w:val="0"/>
              </w:numPr>
              <w:spacing w:line="400" w:lineRule="exact"/>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1.外送机构实验室需具备相关行业资质（实验室需通过CAP或CLIA或ISO15189等认证），进行规范检测。</w:t>
            </w:r>
          </w:p>
          <w:p w14:paraId="1DF040C8">
            <w:pPr>
              <w:numPr>
                <w:ilvl w:val="0"/>
                <w:numId w:val="0"/>
              </w:numPr>
              <w:spacing w:line="400" w:lineRule="exact"/>
              <w:rPr>
                <w:rFonts w:hint="default"/>
                <w:lang w:val="en-US" w:eastAsia="zh-CN"/>
              </w:rPr>
            </w:pPr>
            <w:r>
              <w:rPr>
                <w:rFonts w:hint="eastAsia" w:ascii="Times New Roman" w:hAnsi="Times New Roman" w:cs="Times New Roman"/>
                <w:sz w:val="28"/>
                <w:szCs w:val="28"/>
                <w:lang w:val="en-US" w:eastAsia="zh-CN"/>
              </w:rPr>
              <w:t>2.检测标本由我院病理科提供，外送机构负责标本的取送、检测、数据存档、下机数据及报告的回传等。外送检测全过程应严格按照相关文件规定实施。</w:t>
            </w:r>
          </w:p>
          <w:p w14:paraId="04FE83F1">
            <w:pPr>
              <w:spacing w:line="400" w:lineRule="exac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3.自外送机构收到标本后开始至报告回传到我院病理科不超过7个工作日。因检测失败需重新采集样本，通知时间不超过1个工作日。</w:t>
            </w:r>
          </w:p>
        </w:tc>
        <w:tc>
          <w:tcPr>
            <w:tcW w:w="590" w:type="pct"/>
            <w:noWrap w:val="0"/>
            <w:vAlign w:val="center"/>
          </w:tcPr>
          <w:p w14:paraId="4E052EC0">
            <w:pPr>
              <w:spacing w:line="400" w:lineRule="exact"/>
              <w:jc w:val="center"/>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w:t>
            </w:r>
          </w:p>
        </w:tc>
        <w:tc>
          <w:tcPr>
            <w:tcW w:w="652" w:type="pct"/>
            <w:noWrap w:val="0"/>
            <w:vAlign w:val="center"/>
          </w:tcPr>
          <w:p w14:paraId="5103D6C0">
            <w:pPr>
              <w:spacing w:line="400" w:lineRule="exact"/>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6</w:t>
            </w:r>
            <w:r>
              <w:rPr>
                <w:rFonts w:hint="eastAsia" w:ascii="Times New Roman" w:hAnsi="Times New Roman" w:cs="Times New Roman"/>
                <w:sz w:val="28"/>
                <w:szCs w:val="28"/>
              </w:rPr>
              <w:t>月</w:t>
            </w:r>
          </w:p>
        </w:tc>
        <w:tc>
          <w:tcPr>
            <w:tcW w:w="430" w:type="pct"/>
            <w:noWrap w:val="0"/>
            <w:vAlign w:val="top"/>
          </w:tcPr>
          <w:p w14:paraId="423D6177">
            <w:pPr>
              <w:spacing w:line="400" w:lineRule="exact"/>
              <w:rPr>
                <w:rFonts w:hint="eastAsia"/>
                <w:sz w:val="28"/>
                <w:szCs w:val="28"/>
              </w:rPr>
            </w:pPr>
          </w:p>
        </w:tc>
      </w:tr>
      <w:tr w14:paraId="6E1F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286" w:type="pct"/>
            <w:noWrap w:val="0"/>
            <w:vAlign w:val="center"/>
          </w:tcPr>
          <w:p w14:paraId="0291605C">
            <w:pPr>
              <w:spacing w:line="400" w:lineRule="exact"/>
              <w:rPr>
                <w:rFonts w:hint="eastAsia" w:eastAsia="方正仿宋_GBK"/>
                <w:sz w:val="28"/>
                <w:szCs w:val="28"/>
                <w:lang w:val="en-US" w:eastAsia="zh-CN"/>
              </w:rPr>
            </w:pPr>
            <w:r>
              <w:rPr>
                <w:rFonts w:hint="eastAsia"/>
                <w:sz w:val="28"/>
                <w:szCs w:val="28"/>
                <w:lang w:val="en-US" w:eastAsia="zh-CN"/>
              </w:rPr>
              <w:t>5</w:t>
            </w:r>
          </w:p>
        </w:tc>
        <w:tc>
          <w:tcPr>
            <w:tcW w:w="811" w:type="pct"/>
            <w:noWrap w:val="0"/>
            <w:vAlign w:val="center"/>
          </w:tcPr>
          <w:p w14:paraId="42BFDEFF">
            <w:pPr>
              <w:numPr>
                <w:ilvl w:val="0"/>
                <w:numId w:val="0"/>
              </w:numPr>
              <w:jc w:val="left"/>
              <w:rPr>
                <w:rFonts w:hint="eastAsia" w:ascii="Times New Roman" w:hAnsi="Times New Roman" w:cs="Times New Roman"/>
                <w:sz w:val="28"/>
                <w:szCs w:val="28"/>
                <w:lang w:val="en-US" w:eastAsia="zh-CN"/>
              </w:rPr>
            </w:pPr>
            <w:r>
              <w:rPr>
                <w:rFonts w:hint="eastAsia"/>
                <w:sz w:val="28"/>
                <w:szCs w:val="36"/>
                <w:lang w:val="en-US" w:eastAsia="zh-CN"/>
              </w:rPr>
              <w:t>MYD88基因突变检测</w:t>
            </w:r>
          </w:p>
        </w:tc>
        <w:tc>
          <w:tcPr>
            <w:tcW w:w="2229" w:type="pct"/>
            <w:noWrap w:val="0"/>
            <w:vAlign w:val="top"/>
          </w:tcPr>
          <w:p w14:paraId="4A82850F">
            <w:pPr>
              <w:numPr>
                <w:ilvl w:val="0"/>
                <w:numId w:val="0"/>
              </w:numPr>
              <w:spacing w:line="400" w:lineRule="exact"/>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1.外送机构实验室需具备相关行业资质（实验室需通过CAP或CLIA或ISO15189等认证），进行规范检测。</w:t>
            </w:r>
          </w:p>
          <w:p w14:paraId="4F081C1F">
            <w:pPr>
              <w:numPr>
                <w:ilvl w:val="0"/>
                <w:numId w:val="0"/>
              </w:numPr>
              <w:spacing w:line="400" w:lineRule="exact"/>
              <w:rPr>
                <w:rFonts w:hint="default"/>
                <w:lang w:val="en-US" w:eastAsia="zh-CN"/>
              </w:rPr>
            </w:pPr>
            <w:r>
              <w:rPr>
                <w:rFonts w:hint="eastAsia" w:ascii="Times New Roman" w:hAnsi="Times New Roman" w:cs="Times New Roman"/>
                <w:sz w:val="28"/>
                <w:szCs w:val="28"/>
                <w:lang w:val="en-US" w:eastAsia="zh-CN"/>
              </w:rPr>
              <w:t>2.检测标本由我院病理科提供，外送机构负责标本的取送、检测、数据存档、下机数据及报告的回传等。外送检测全过程应严格按照相关文件规定实施。</w:t>
            </w:r>
          </w:p>
          <w:p w14:paraId="25B2006B">
            <w:pPr>
              <w:spacing w:line="400" w:lineRule="exac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3.自外送机构收到标本后开始至报告回传到我院病理科不超过5个工作日。因检测失败需重新采集样本，通知时间不超过1个工作日。</w:t>
            </w:r>
          </w:p>
        </w:tc>
        <w:tc>
          <w:tcPr>
            <w:tcW w:w="590" w:type="pct"/>
            <w:noWrap w:val="0"/>
            <w:vAlign w:val="center"/>
          </w:tcPr>
          <w:p w14:paraId="4CA2B6B2">
            <w:pPr>
              <w:spacing w:line="400" w:lineRule="exact"/>
              <w:jc w:val="center"/>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w:t>
            </w:r>
          </w:p>
        </w:tc>
        <w:tc>
          <w:tcPr>
            <w:tcW w:w="652" w:type="pct"/>
            <w:noWrap w:val="0"/>
            <w:vAlign w:val="center"/>
          </w:tcPr>
          <w:p w14:paraId="059F7CD0">
            <w:pPr>
              <w:spacing w:line="400" w:lineRule="exact"/>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6</w:t>
            </w:r>
            <w:r>
              <w:rPr>
                <w:rFonts w:hint="eastAsia" w:ascii="Times New Roman" w:hAnsi="Times New Roman" w:cs="Times New Roman"/>
                <w:sz w:val="28"/>
                <w:szCs w:val="28"/>
              </w:rPr>
              <w:t>月</w:t>
            </w:r>
          </w:p>
        </w:tc>
        <w:tc>
          <w:tcPr>
            <w:tcW w:w="430" w:type="pct"/>
            <w:noWrap w:val="0"/>
            <w:vAlign w:val="top"/>
          </w:tcPr>
          <w:p w14:paraId="1FBFE795">
            <w:pPr>
              <w:spacing w:line="400" w:lineRule="exact"/>
              <w:rPr>
                <w:rFonts w:hint="eastAsia"/>
                <w:sz w:val="28"/>
                <w:szCs w:val="28"/>
              </w:rPr>
            </w:pPr>
          </w:p>
        </w:tc>
      </w:tr>
      <w:tr w14:paraId="78BD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286" w:type="pct"/>
            <w:noWrap w:val="0"/>
            <w:vAlign w:val="center"/>
          </w:tcPr>
          <w:p w14:paraId="7AEDFE8E">
            <w:pPr>
              <w:spacing w:line="400" w:lineRule="exact"/>
              <w:rPr>
                <w:rFonts w:hint="default"/>
                <w:sz w:val="28"/>
                <w:szCs w:val="28"/>
                <w:lang w:val="en-US" w:eastAsia="zh-CN"/>
              </w:rPr>
            </w:pPr>
            <w:r>
              <w:rPr>
                <w:rFonts w:hint="eastAsia"/>
                <w:sz w:val="28"/>
                <w:szCs w:val="28"/>
                <w:lang w:val="en-US" w:eastAsia="zh-CN"/>
              </w:rPr>
              <w:t>6</w:t>
            </w:r>
          </w:p>
        </w:tc>
        <w:tc>
          <w:tcPr>
            <w:tcW w:w="811" w:type="pct"/>
            <w:noWrap w:val="0"/>
            <w:vAlign w:val="center"/>
          </w:tcPr>
          <w:p w14:paraId="5284F98F">
            <w:pPr>
              <w:numPr>
                <w:ilvl w:val="0"/>
                <w:numId w:val="0"/>
              </w:numPr>
              <w:jc w:val="left"/>
              <w:rPr>
                <w:rFonts w:hint="eastAsia" w:ascii="Times New Roman" w:hAnsi="Times New Roman" w:cs="Times New Roman"/>
                <w:sz w:val="28"/>
                <w:szCs w:val="28"/>
                <w:lang w:val="en-US" w:eastAsia="zh-CN"/>
              </w:rPr>
            </w:pPr>
            <w:r>
              <w:rPr>
                <w:rFonts w:hint="eastAsia"/>
                <w:sz w:val="28"/>
                <w:szCs w:val="36"/>
                <w:lang w:val="en-US" w:eastAsia="zh-CN"/>
              </w:rPr>
              <w:t>TP53基因突变检测</w:t>
            </w:r>
          </w:p>
        </w:tc>
        <w:tc>
          <w:tcPr>
            <w:tcW w:w="2229" w:type="pct"/>
            <w:noWrap w:val="0"/>
            <w:vAlign w:val="top"/>
          </w:tcPr>
          <w:p w14:paraId="76E17CFC">
            <w:pPr>
              <w:numPr>
                <w:ilvl w:val="0"/>
                <w:numId w:val="0"/>
              </w:numPr>
              <w:spacing w:line="400" w:lineRule="exact"/>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1.外送机构实验室需具备相关行业资质（实验室需通过CAP或CLIA或ISO15189等认证），进行规范检测。</w:t>
            </w:r>
          </w:p>
          <w:p w14:paraId="3AF4202E">
            <w:pPr>
              <w:numPr>
                <w:ilvl w:val="0"/>
                <w:numId w:val="0"/>
              </w:numPr>
              <w:spacing w:line="400" w:lineRule="exact"/>
              <w:rPr>
                <w:rFonts w:hint="default"/>
                <w:lang w:val="en-US" w:eastAsia="zh-CN"/>
              </w:rPr>
            </w:pPr>
            <w:r>
              <w:rPr>
                <w:rFonts w:hint="eastAsia" w:ascii="Times New Roman" w:hAnsi="Times New Roman" w:cs="Times New Roman"/>
                <w:sz w:val="28"/>
                <w:szCs w:val="28"/>
                <w:lang w:val="en-US" w:eastAsia="zh-CN"/>
              </w:rPr>
              <w:t>2.检测标本由我院病理科提供，外送机构负责标本的取送、检测、数据存档、下机数据及报告的回传等。外送检测全过程应严格按照相关文件规定实施。</w:t>
            </w:r>
          </w:p>
          <w:p w14:paraId="3CCA4C28">
            <w:pPr>
              <w:spacing w:line="400" w:lineRule="exac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3.自外送机构收到标本后开始至报告回传到我院病理科不超过7个工作日。因检测失败需重新采集样本，通知时间不超过1个工作日。</w:t>
            </w:r>
          </w:p>
        </w:tc>
        <w:tc>
          <w:tcPr>
            <w:tcW w:w="590" w:type="pct"/>
            <w:noWrap w:val="0"/>
            <w:vAlign w:val="center"/>
          </w:tcPr>
          <w:p w14:paraId="135818D8">
            <w:pPr>
              <w:spacing w:line="400" w:lineRule="exact"/>
              <w:jc w:val="center"/>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w:t>
            </w:r>
          </w:p>
        </w:tc>
        <w:tc>
          <w:tcPr>
            <w:tcW w:w="652" w:type="pct"/>
            <w:noWrap w:val="0"/>
            <w:vAlign w:val="center"/>
          </w:tcPr>
          <w:p w14:paraId="37599A3F">
            <w:pPr>
              <w:spacing w:line="400" w:lineRule="exact"/>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6</w:t>
            </w:r>
            <w:r>
              <w:rPr>
                <w:rFonts w:hint="eastAsia" w:ascii="Times New Roman" w:hAnsi="Times New Roman" w:cs="Times New Roman"/>
                <w:sz w:val="28"/>
                <w:szCs w:val="28"/>
              </w:rPr>
              <w:t>月</w:t>
            </w:r>
          </w:p>
        </w:tc>
        <w:tc>
          <w:tcPr>
            <w:tcW w:w="430" w:type="pct"/>
            <w:noWrap w:val="0"/>
            <w:vAlign w:val="top"/>
          </w:tcPr>
          <w:p w14:paraId="22E27763">
            <w:pPr>
              <w:spacing w:line="400" w:lineRule="exact"/>
              <w:rPr>
                <w:rFonts w:hint="eastAsia"/>
                <w:sz w:val="28"/>
                <w:szCs w:val="28"/>
              </w:rPr>
            </w:pPr>
          </w:p>
        </w:tc>
      </w:tr>
    </w:tbl>
    <w:p w14:paraId="3918D44C">
      <w:pPr>
        <w:jc w:val="left"/>
        <w:rPr>
          <w:rFonts w:hint="eastAsia"/>
          <w:szCs w:val="32"/>
        </w:rPr>
      </w:pPr>
      <w:r>
        <w:rPr>
          <w:rFonts w:hint="eastAsia"/>
          <w:szCs w:val="32"/>
        </w:rPr>
        <w:t xml:space="preserve">本次公开的采购意向是本单位采购工作的初步安排，具体采购项目情况以相关采购公告和采购文件为准。 </w:t>
      </w:r>
    </w:p>
    <w:p w14:paraId="029970A8">
      <w:pPr>
        <w:spacing w:line="600" w:lineRule="exact"/>
        <w:ind w:firstLine="629"/>
        <w:jc w:val="right"/>
        <w:rPr>
          <w:rFonts w:hint="eastAsia"/>
          <w:szCs w:val="32"/>
        </w:rPr>
      </w:pPr>
      <w:r>
        <w:rPr>
          <w:rFonts w:hint="eastAsia"/>
          <w:szCs w:val="32"/>
        </w:rPr>
        <w:t xml:space="preserve">                          重庆大学附属肿瘤医院</w:t>
      </w:r>
    </w:p>
    <w:p w14:paraId="5CF119F8">
      <w:pPr>
        <w:spacing w:line="600" w:lineRule="exact"/>
        <w:ind w:firstLine="629"/>
        <w:jc w:val="right"/>
        <w:rPr>
          <w:rFonts w:hint="eastAsia"/>
          <w:color w:val="FF0000"/>
          <w:szCs w:val="32"/>
        </w:rPr>
      </w:pPr>
      <w:r>
        <w:rPr>
          <w:rFonts w:hint="eastAsia"/>
          <w:szCs w:val="32"/>
        </w:rPr>
        <w:t>20</w:t>
      </w:r>
      <w:r>
        <w:rPr>
          <w:rFonts w:hint="eastAsia"/>
          <w:szCs w:val="32"/>
          <w:lang w:val="en-US" w:eastAsia="zh-CN"/>
        </w:rPr>
        <w:t>25</w:t>
      </w:r>
      <w:r>
        <w:rPr>
          <w:rFonts w:hint="eastAsia"/>
          <w:szCs w:val="32"/>
        </w:rPr>
        <w:t>.</w:t>
      </w:r>
      <w:r>
        <w:rPr>
          <w:rFonts w:hint="eastAsia"/>
          <w:szCs w:val="32"/>
          <w:lang w:val="en-US" w:eastAsia="zh-CN"/>
        </w:rPr>
        <w:t>5.20</w:t>
      </w:r>
      <w:r>
        <w:rPr>
          <w:rFonts w:hint="eastAsia"/>
          <w:szCs w:val="32"/>
        </w:rPr>
        <w:t xml:space="preserve">                              </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2E553231-3227-4D77-9D20-FCA6A833DB81}"/>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160ADDFE-02BC-4496-BFC2-70D5A384260A}"/>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3" w:fontKey="{62E7EB4F-1E5B-4942-8AF4-2B8203ECC3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62B1">
    <w:pPr>
      <w:pStyle w:val="11"/>
      <w:framePr w:wrap="around" w:vAnchor="text" w:hAnchor="margin" w:xAlign="outside" w:y="1"/>
      <w:ind w:right="320" w:rightChars="100"/>
      <w:rPr>
        <w:rStyle w:val="19"/>
        <w:rFonts w:hint="eastAsia" w:ascii="宋体" w:hAnsi="宋体" w:eastAsia="宋体"/>
        <w:sz w:val="28"/>
        <w:szCs w:val="28"/>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2</w:t>
    </w:r>
    <w:r>
      <w:rPr>
        <w:rFonts w:ascii="宋体" w:hAnsi="宋体" w:eastAsia="宋体"/>
        <w:sz w:val="28"/>
        <w:szCs w:val="28"/>
      </w:rPr>
      <w:fldChar w:fldCharType="end"/>
    </w:r>
    <w:r>
      <w:rPr>
        <w:rStyle w:val="19"/>
        <w:rFonts w:hint="eastAsia" w:ascii="宋体" w:hAnsi="宋体" w:eastAsia="宋体"/>
        <w:sz w:val="28"/>
        <w:szCs w:val="28"/>
      </w:rPr>
      <w:t xml:space="preserve"> —</w:t>
    </w:r>
  </w:p>
  <w:p w14:paraId="1AA6D6FA">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72FFC">
    <w:pPr>
      <w:pStyle w:val="11"/>
      <w:framePr w:wrap="around" w:vAnchor="text" w:hAnchor="margin" w:xAlign="outside" w:y="1"/>
      <w:ind w:left="320" w:leftChars="100"/>
      <w:rPr>
        <w:rStyle w:val="19"/>
        <w:rFonts w:hint="eastAsia" w:ascii="宋体" w:hAnsi="宋体" w:eastAsia="宋体"/>
        <w:sz w:val="28"/>
        <w:szCs w:val="28"/>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10</w:t>
    </w:r>
    <w:r>
      <w:rPr>
        <w:rFonts w:ascii="宋体" w:hAnsi="宋体" w:eastAsia="宋体"/>
        <w:sz w:val="28"/>
        <w:szCs w:val="28"/>
      </w:rPr>
      <w:fldChar w:fldCharType="end"/>
    </w:r>
    <w:r>
      <w:rPr>
        <w:rStyle w:val="19"/>
        <w:rFonts w:hint="eastAsia" w:ascii="宋体" w:hAnsi="宋体" w:eastAsia="宋体"/>
        <w:sz w:val="28"/>
        <w:szCs w:val="28"/>
      </w:rPr>
      <w:t xml:space="preserve"> —</w:t>
    </w:r>
  </w:p>
  <w:p w14:paraId="69603E81">
    <w:pPr>
      <w:pStyle w:val="11"/>
      <w:framePr w:wrap="around" w:vAnchor="text" w:hAnchor="margin" w:xAlign="outside" w:y="1"/>
      <w:ind w:left="640" w:leftChars="200" w:right="640" w:rightChars="200" w:firstLine="360"/>
      <w:rPr>
        <w:rStyle w:val="19"/>
        <w:rFonts w:hint="eastAsia" w:ascii="宋体" w:hAnsi="宋体" w:eastAsia="宋体"/>
        <w:sz w:val="28"/>
        <w:szCs w:val="28"/>
      </w:rPr>
    </w:pPr>
  </w:p>
  <w:p w14:paraId="040587D1">
    <w:pPr>
      <w:pStyle w:val="1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5"/>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32A36C3E"/>
    <w:multiLevelType w:val="singleLevel"/>
    <w:tmpl w:val="32A36C3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DdkMjNhMTRmNzU2MjdiODRjZjEzNzBlZWVhMmM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941"/>
    <w:rsid w:val="00013BC2"/>
    <w:rsid w:val="00013E95"/>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2A18"/>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92F"/>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2CE2"/>
    <w:rsid w:val="00103C34"/>
    <w:rsid w:val="0010604E"/>
    <w:rsid w:val="00106917"/>
    <w:rsid w:val="00106D7E"/>
    <w:rsid w:val="00107318"/>
    <w:rsid w:val="00107534"/>
    <w:rsid w:val="00107781"/>
    <w:rsid w:val="0011172C"/>
    <w:rsid w:val="00112CA7"/>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33DC"/>
    <w:rsid w:val="001444BB"/>
    <w:rsid w:val="00144D97"/>
    <w:rsid w:val="00144E65"/>
    <w:rsid w:val="00145242"/>
    <w:rsid w:val="00145DF4"/>
    <w:rsid w:val="00145E1D"/>
    <w:rsid w:val="00145F70"/>
    <w:rsid w:val="00146709"/>
    <w:rsid w:val="00147138"/>
    <w:rsid w:val="00150139"/>
    <w:rsid w:val="001502C8"/>
    <w:rsid w:val="001508A5"/>
    <w:rsid w:val="001509A5"/>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A3"/>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49B1"/>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164"/>
    <w:rsid w:val="00276A09"/>
    <w:rsid w:val="00276BED"/>
    <w:rsid w:val="002802D2"/>
    <w:rsid w:val="0028125C"/>
    <w:rsid w:val="00281675"/>
    <w:rsid w:val="002816E9"/>
    <w:rsid w:val="00281B66"/>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0010"/>
    <w:rsid w:val="0032102F"/>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AD3"/>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813"/>
    <w:rsid w:val="003D3ABF"/>
    <w:rsid w:val="003D406C"/>
    <w:rsid w:val="003D409F"/>
    <w:rsid w:val="003D43AF"/>
    <w:rsid w:val="003D5597"/>
    <w:rsid w:val="003D5CA0"/>
    <w:rsid w:val="003D5F72"/>
    <w:rsid w:val="003D61DD"/>
    <w:rsid w:val="003D7775"/>
    <w:rsid w:val="003E006A"/>
    <w:rsid w:val="003E0D68"/>
    <w:rsid w:val="003E0FD8"/>
    <w:rsid w:val="003E0FE7"/>
    <w:rsid w:val="003E19B8"/>
    <w:rsid w:val="003E21A7"/>
    <w:rsid w:val="003E3917"/>
    <w:rsid w:val="003E4469"/>
    <w:rsid w:val="003E4A29"/>
    <w:rsid w:val="003E4BC5"/>
    <w:rsid w:val="003E56DB"/>
    <w:rsid w:val="003E5BC0"/>
    <w:rsid w:val="003E648A"/>
    <w:rsid w:val="003E7AD6"/>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3912"/>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4037B"/>
    <w:rsid w:val="00440950"/>
    <w:rsid w:val="004414F7"/>
    <w:rsid w:val="00441CA3"/>
    <w:rsid w:val="00441E3F"/>
    <w:rsid w:val="0044204E"/>
    <w:rsid w:val="004422E1"/>
    <w:rsid w:val="00442860"/>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DB6"/>
    <w:rsid w:val="004F4E03"/>
    <w:rsid w:val="004F4E3A"/>
    <w:rsid w:val="004F4E6A"/>
    <w:rsid w:val="004F5739"/>
    <w:rsid w:val="004F632C"/>
    <w:rsid w:val="004F6C53"/>
    <w:rsid w:val="004F7622"/>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690"/>
    <w:rsid w:val="00517738"/>
    <w:rsid w:val="005177EA"/>
    <w:rsid w:val="00517C76"/>
    <w:rsid w:val="00520514"/>
    <w:rsid w:val="00520FB5"/>
    <w:rsid w:val="00521D36"/>
    <w:rsid w:val="00522855"/>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2EE"/>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DB2"/>
    <w:rsid w:val="005C771F"/>
    <w:rsid w:val="005C79A7"/>
    <w:rsid w:val="005D063B"/>
    <w:rsid w:val="005D06DD"/>
    <w:rsid w:val="005D1A43"/>
    <w:rsid w:val="005D1CEC"/>
    <w:rsid w:val="005D1DDF"/>
    <w:rsid w:val="005D44AC"/>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2704"/>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196"/>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4FEA"/>
    <w:rsid w:val="00705BC6"/>
    <w:rsid w:val="00705E41"/>
    <w:rsid w:val="00706874"/>
    <w:rsid w:val="00706888"/>
    <w:rsid w:val="007069BB"/>
    <w:rsid w:val="00706EE4"/>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1D26"/>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5254"/>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6FA"/>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63"/>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C82"/>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248"/>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1F8B"/>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1D57"/>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A12"/>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5E6E"/>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7A2"/>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5C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45F"/>
    <w:rsid w:val="00B33937"/>
    <w:rsid w:val="00B34162"/>
    <w:rsid w:val="00B363E3"/>
    <w:rsid w:val="00B370B3"/>
    <w:rsid w:val="00B37873"/>
    <w:rsid w:val="00B378C8"/>
    <w:rsid w:val="00B4020C"/>
    <w:rsid w:val="00B4088F"/>
    <w:rsid w:val="00B40EC6"/>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6755"/>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2E9E"/>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4AE"/>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37D"/>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1C6"/>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A470D"/>
    <w:rsid w:val="00EB0340"/>
    <w:rsid w:val="00EB0465"/>
    <w:rsid w:val="00EB091E"/>
    <w:rsid w:val="00EB0A20"/>
    <w:rsid w:val="00EB36E7"/>
    <w:rsid w:val="00EB400D"/>
    <w:rsid w:val="00EB4F95"/>
    <w:rsid w:val="00EB64F6"/>
    <w:rsid w:val="00EB66F6"/>
    <w:rsid w:val="00EB7223"/>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678E"/>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4B0D"/>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6CE"/>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26F642A"/>
    <w:rsid w:val="02910D60"/>
    <w:rsid w:val="030F3F36"/>
    <w:rsid w:val="03E53757"/>
    <w:rsid w:val="051D4572"/>
    <w:rsid w:val="05580ED4"/>
    <w:rsid w:val="055857A0"/>
    <w:rsid w:val="056A59DC"/>
    <w:rsid w:val="058E4BD3"/>
    <w:rsid w:val="05EF20FD"/>
    <w:rsid w:val="063C138D"/>
    <w:rsid w:val="06551CF0"/>
    <w:rsid w:val="077010BF"/>
    <w:rsid w:val="07F36299"/>
    <w:rsid w:val="082A386A"/>
    <w:rsid w:val="086F1ECB"/>
    <w:rsid w:val="09086301"/>
    <w:rsid w:val="09362831"/>
    <w:rsid w:val="0A060C12"/>
    <w:rsid w:val="0A233EEB"/>
    <w:rsid w:val="0A653071"/>
    <w:rsid w:val="0A743046"/>
    <w:rsid w:val="0C2169FA"/>
    <w:rsid w:val="0C276415"/>
    <w:rsid w:val="0C5D3CFE"/>
    <w:rsid w:val="0CDB4E4A"/>
    <w:rsid w:val="0DA66882"/>
    <w:rsid w:val="0E6D2AA6"/>
    <w:rsid w:val="0F163D3A"/>
    <w:rsid w:val="0F744B9F"/>
    <w:rsid w:val="10670CA2"/>
    <w:rsid w:val="1167027B"/>
    <w:rsid w:val="12373F9F"/>
    <w:rsid w:val="12537E2F"/>
    <w:rsid w:val="13024870"/>
    <w:rsid w:val="13CD0EFE"/>
    <w:rsid w:val="13F114AE"/>
    <w:rsid w:val="144857F7"/>
    <w:rsid w:val="15FD2AA2"/>
    <w:rsid w:val="161E08AB"/>
    <w:rsid w:val="16393BDB"/>
    <w:rsid w:val="1642631D"/>
    <w:rsid w:val="16435794"/>
    <w:rsid w:val="174269D7"/>
    <w:rsid w:val="1908399E"/>
    <w:rsid w:val="19BA4B78"/>
    <w:rsid w:val="1A694E37"/>
    <w:rsid w:val="1A9D1D74"/>
    <w:rsid w:val="1E5A62F0"/>
    <w:rsid w:val="1E895406"/>
    <w:rsid w:val="1E8B2C75"/>
    <w:rsid w:val="1EDC2A7F"/>
    <w:rsid w:val="1F2C6D06"/>
    <w:rsid w:val="1F7734A1"/>
    <w:rsid w:val="1F8F511B"/>
    <w:rsid w:val="1F9B39AD"/>
    <w:rsid w:val="1F9B73FE"/>
    <w:rsid w:val="20613DBD"/>
    <w:rsid w:val="2091339E"/>
    <w:rsid w:val="20BE4DDD"/>
    <w:rsid w:val="216B4463"/>
    <w:rsid w:val="22380333"/>
    <w:rsid w:val="22E214CF"/>
    <w:rsid w:val="23483979"/>
    <w:rsid w:val="23665B3E"/>
    <w:rsid w:val="23882634"/>
    <w:rsid w:val="23FA2194"/>
    <w:rsid w:val="24143832"/>
    <w:rsid w:val="258C2146"/>
    <w:rsid w:val="263509D9"/>
    <w:rsid w:val="2739686F"/>
    <w:rsid w:val="27FE6547"/>
    <w:rsid w:val="282146A0"/>
    <w:rsid w:val="29E30655"/>
    <w:rsid w:val="29F159D1"/>
    <w:rsid w:val="2A8B3DF2"/>
    <w:rsid w:val="2A9F01B8"/>
    <w:rsid w:val="2B081600"/>
    <w:rsid w:val="2C9F1A80"/>
    <w:rsid w:val="2CB67807"/>
    <w:rsid w:val="2D713318"/>
    <w:rsid w:val="2F362249"/>
    <w:rsid w:val="2F9946A6"/>
    <w:rsid w:val="2FA85B17"/>
    <w:rsid w:val="31D95ED6"/>
    <w:rsid w:val="326138C3"/>
    <w:rsid w:val="32A07131"/>
    <w:rsid w:val="350466DA"/>
    <w:rsid w:val="355745AE"/>
    <w:rsid w:val="36634BCA"/>
    <w:rsid w:val="37062EF4"/>
    <w:rsid w:val="37704640"/>
    <w:rsid w:val="397816BF"/>
    <w:rsid w:val="39F852B7"/>
    <w:rsid w:val="3A0550CD"/>
    <w:rsid w:val="3AA16B1F"/>
    <w:rsid w:val="3AD3068A"/>
    <w:rsid w:val="3BCC79B1"/>
    <w:rsid w:val="3BFB7A0F"/>
    <w:rsid w:val="3C145BD4"/>
    <w:rsid w:val="3C517CA2"/>
    <w:rsid w:val="3D7F5F0C"/>
    <w:rsid w:val="3D8E1474"/>
    <w:rsid w:val="3D913B2D"/>
    <w:rsid w:val="3E92668E"/>
    <w:rsid w:val="3E984AD0"/>
    <w:rsid w:val="3F0110BB"/>
    <w:rsid w:val="3FE4001D"/>
    <w:rsid w:val="401A783F"/>
    <w:rsid w:val="402D5EB7"/>
    <w:rsid w:val="40861AC4"/>
    <w:rsid w:val="40876940"/>
    <w:rsid w:val="40EA548F"/>
    <w:rsid w:val="410A39B4"/>
    <w:rsid w:val="41E02C45"/>
    <w:rsid w:val="439E42E3"/>
    <w:rsid w:val="43E83BBE"/>
    <w:rsid w:val="442F6092"/>
    <w:rsid w:val="459335EA"/>
    <w:rsid w:val="45AA700C"/>
    <w:rsid w:val="460E0E3D"/>
    <w:rsid w:val="462E3556"/>
    <w:rsid w:val="484B5B08"/>
    <w:rsid w:val="4863738A"/>
    <w:rsid w:val="491B3B4E"/>
    <w:rsid w:val="4AA24B31"/>
    <w:rsid w:val="4AEA553B"/>
    <w:rsid w:val="4BD101BC"/>
    <w:rsid w:val="4BE34F89"/>
    <w:rsid w:val="4D3E5367"/>
    <w:rsid w:val="4D653C2E"/>
    <w:rsid w:val="4F0A756B"/>
    <w:rsid w:val="50261EE5"/>
    <w:rsid w:val="50C20E55"/>
    <w:rsid w:val="5116238F"/>
    <w:rsid w:val="51A159FE"/>
    <w:rsid w:val="51BB210C"/>
    <w:rsid w:val="52461F16"/>
    <w:rsid w:val="524E1976"/>
    <w:rsid w:val="53167F68"/>
    <w:rsid w:val="53634C01"/>
    <w:rsid w:val="536B3351"/>
    <w:rsid w:val="54637DFF"/>
    <w:rsid w:val="54AF6350"/>
    <w:rsid w:val="54E570D4"/>
    <w:rsid w:val="560E36BE"/>
    <w:rsid w:val="568410FF"/>
    <w:rsid w:val="569814AB"/>
    <w:rsid w:val="572C1542"/>
    <w:rsid w:val="57401AE5"/>
    <w:rsid w:val="57985972"/>
    <w:rsid w:val="57991081"/>
    <w:rsid w:val="58985EA3"/>
    <w:rsid w:val="59355240"/>
    <w:rsid w:val="599F45F0"/>
    <w:rsid w:val="59F81164"/>
    <w:rsid w:val="5A6B27BD"/>
    <w:rsid w:val="5A720BDF"/>
    <w:rsid w:val="5CDD1F99"/>
    <w:rsid w:val="5CF41997"/>
    <w:rsid w:val="5D3B5F02"/>
    <w:rsid w:val="5D8A7610"/>
    <w:rsid w:val="5DD91686"/>
    <w:rsid w:val="5E51689E"/>
    <w:rsid w:val="5E8C3B32"/>
    <w:rsid w:val="5EE9514B"/>
    <w:rsid w:val="600474E0"/>
    <w:rsid w:val="60074DC4"/>
    <w:rsid w:val="60D14BE6"/>
    <w:rsid w:val="612A47E8"/>
    <w:rsid w:val="629F0EE8"/>
    <w:rsid w:val="6340656D"/>
    <w:rsid w:val="63640C4D"/>
    <w:rsid w:val="643D5113"/>
    <w:rsid w:val="64720CC4"/>
    <w:rsid w:val="64BF1959"/>
    <w:rsid w:val="64F63342"/>
    <w:rsid w:val="65FF3636"/>
    <w:rsid w:val="67402A42"/>
    <w:rsid w:val="67C563CE"/>
    <w:rsid w:val="67D13E51"/>
    <w:rsid w:val="68CB11CC"/>
    <w:rsid w:val="6957120D"/>
    <w:rsid w:val="69A47B5D"/>
    <w:rsid w:val="6A8E0E2A"/>
    <w:rsid w:val="6AB9362D"/>
    <w:rsid w:val="6B2C4C9E"/>
    <w:rsid w:val="6B94610F"/>
    <w:rsid w:val="6C702619"/>
    <w:rsid w:val="6C8D3156"/>
    <w:rsid w:val="6CCC538B"/>
    <w:rsid w:val="6CE34A9C"/>
    <w:rsid w:val="6DC2505F"/>
    <w:rsid w:val="6DD27E40"/>
    <w:rsid w:val="706B7010"/>
    <w:rsid w:val="70CB4F1D"/>
    <w:rsid w:val="72AB7280"/>
    <w:rsid w:val="72BA6E65"/>
    <w:rsid w:val="7383018E"/>
    <w:rsid w:val="73EE04C2"/>
    <w:rsid w:val="749D5D6D"/>
    <w:rsid w:val="74B80F33"/>
    <w:rsid w:val="75587161"/>
    <w:rsid w:val="76463847"/>
    <w:rsid w:val="77C01391"/>
    <w:rsid w:val="77F569E2"/>
    <w:rsid w:val="78BF572C"/>
    <w:rsid w:val="78EA2B35"/>
    <w:rsid w:val="78FC67F9"/>
    <w:rsid w:val="798C584E"/>
    <w:rsid w:val="7A462A03"/>
    <w:rsid w:val="7A9C1BA2"/>
    <w:rsid w:val="7A9F2E45"/>
    <w:rsid w:val="7D0264A7"/>
    <w:rsid w:val="7E5F5463"/>
    <w:rsid w:val="7F7D0C75"/>
    <w:rsid w:val="7F7F69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21"/>
    <w:qFormat/>
    <w:uiPriority w:val="0"/>
    <w:pPr>
      <w:keepNext/>
      <w:keepLines/>
      <w:spacing w:before="340" w:after="330" w:line="578" w:lineRule="auto"/>
      <w:outlineLvl w:val="0"/>
    </w:pPr>
    <w:rPr>
      <w:rFonts w:ascii="Calibri" w:hAnsi="Calibri" w:eastAsia="宋体"/>
      <w:b/>
      <w:bCs/>
      <w:kern w:val="44"/>
      <w:sz w:val="44"/>
      <w:szCs w:val="44"/>
    </w:rPr>
  </w:style>
  <w:style w:type="paragraph" w:styleId="4">
    <w:name w:val="heading 2"/>
    <w:basedOn w:val="1"/>
    <w:next w:val="1"/>
    <w:link w:val="22"/>
    <w:qFormat/>
    <w:uiPriority w:val="0"/>
    <w:pPr>
      <w:keepNext/>
      <w:keepLines/>
      <w:spacing w:before="260" w:after="260" w:line="416" w:lineRule="auto"/>
      <w:outlineLvl w:val="1"/>
    </w:pPr>
    <w:rPr>
      <w:rFonts w:ascii="Cambria" w:hAnsi="Cambria" w:eastAsia="宋体"/>
      <w:b/>
      <w:bCs/>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7">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Body Text First Indent"/>
    <w:basedOn w:val="1"/>
    <w:next w:val="1"/>
    <w:qFormat/>
    <w:uiPriority w:val="0"/>
    <w:pPr>
      <w:ind w:firstLine="420" w:firstLineChars="100"/>
    </w:pPr>
    <w:rPr>
      <w:rFonts w:ascii="Times New Roman"/>
    </w:rPr>
  </w:style>
  <w:style w:type="paragraph" w:styleId="6">
    <w:name w:val="Body Text"/>
    <w:basedOn w:val="1"/>
    <w:next w:val="1"/>
    <w:uiPriority w:val="0"/>
    <w:pPr>
      <w:spacing w:after="120"/>
    </w:pPr>
  </w:style>
  <w:style w:type="paragraph" w:styleId="7">
    <w:name w:val="Body Text Indent"/>
    <w:basedOn w:val="1"/>
    <w:uiPriority w:val="0"/>
    <w:pPr>
      <w:ind w:firstLine="640"/>
    </w:pPr>
    <w:rPr>
      <w:rFonts w:hint="eastAsia" w:ascii="仿宋_GB2312" w:eastAsia="仿宋_GB2312"/>
    </w:rPr>
  </w:style>
  <w:style w:type="paragraph" w:styleId="8">
    <w:name w:val="Block Text"/>
    <w:basedOn w:val="1"/>
    <w:uiPriority w:val="0"/>
    <w:pPr>
      <w:ind w:left="-178" w:leftChars="-85" w:right="-693" w:rightChars="-330" w:firstLine="560" w:firstLineChars="200"/>
    </w:pPr>
    <w:rPr>
      <w:rFonts w:eastAsia="宋体"/>
      <w:sz w:val="28"/>
      <w:szCs w:val="24"/>
    </w:rPr>
  </w:style>
  <w:style w:type="paragraph" w:styleId="9">
    <w:name w:val="Plain Text"/>
    <w:basedOn w:val="1"/>
    <w:qFormat/>
    <w:uiPriority w:val="0"/>
    <w:rPr>
      <w:rFonts w:ascii="宋体" w:hAnsi="Courier New" w:eastAsia="宋体"/>
      <w:sz w:val="21"/>
      <w:szCs w:val="21"/>
    </w:rPr>
  </w:style>
  <w:style w:type="paragraph" w:styleId="10">
    <w:name w:val="Date"/>
    <w:basedOn w:val="1"/>
    <w:next w:val="1"/>
    <w:qFormat/>
    <w:uiPriority w:val="0"/>
    <w:pPr>
      <w:ind w:left="100" w:leftChars="2500"/>
    </w:pPr>
  </w:style>
  <w:style w:type="paragraph" w:styleId="11">
    <w:name w:val="footer"/>
    <w:basedOn w:val="1"/>
    <w:link w:val="23"/>
    <w:qFormat/>
    <w:uiPriority w:val="0"/>
    <w:pPr>
      <w:tabs>
        <w:tab w:val="center" w:pos="4153"/>
        <w:tab w:val="right" w:pos="8306"/>
      </w:tabs>
      <w:snapToGrid w:val="0"/>
      <w:jc w:val="left"/>
    </w:pPr>
    <w:rPr>
      <w:sz w:val="18"/>
    </w:rPr>
  </w:style>
  <w:style w:type="paragraph" w:styleId="12">
    <w:name w:val="header"/>
    <w:basedOn w:val="1"/>
    <w:link w:val="24"/>
    <w:uiPriority w:val="0"/>
    <w:pPr>
      <w:pBdr>
        <w:bottom w:val="single" w:color="auto" w:sz="6" w:space="1"/>
      </w:pBdr>
      <w:tabs>
        <w:tab w:val="center" w:pos="4153"/>
        <w:tab w:val="right" w:pos="8306"/>
      </w:tabs>
      <w:snapToGrid w:val="0"/>
      <w:jc w:val="center"/>
    </w:pPr>
    <w:rPr>
      <w:sz w:val="18"/>
    </w:rPr>
  </w:style>
  <w:style w:type="paragraph" w:styleId="1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25"/>
    <w:qFormat/>
    <w:uiPriority w:val="0"/>
    <w:pPr>
      <w:spacing w:line="500" w:lineRule="exact"/>
      <w:ind w:firstLine="200" w:firstLineChars="200"/>
      <w:jc w:val="center"/>
      <w:outlineLvl w:val="0"/>
    </w:pPr>
    <w:rPr>
      <w:rFonts w:ascii="Cambria" w:hAnsi="Cambria" w:eastAsia="方正小标宋_GBK"/>
      <w:bCs/>
      <w:kern w:val="0"/>
      <w:sz w:val="44"/>
      <w:szCs w:val="32"/>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character" w:styleId="19">
    <w:name w:val="page number"/>
    <w:qFormat/>
    <w:uiPriority w:val="0"/>
  </w:style>
  <w:style w:type="character" w:styleId="20">
    <w:name w:val="Hyperlink"/>
    <w:qFormat/>
    <w:uiPriority w:val="0"/>
    <w:rPr>
      <w:color w:val="0000FF"/>
      <w:u w:val="single"/>
    </w:rPr>
  </w:style>
  <w:style w:type="character" w:customStyle="1" w:styleId="21">
    <w:name w:val="标题 1 字符"/>
    <w:link w:val="3"/>
    <w:qFormat/>
    <w:uiPriority w:val="0"/>
    <w:rPr>
      <w:rFonts w:ascii="Calibri" w:hAnsi="Calibri" w:eastAsia="宋体"/>
      <w:b/>
      <w:bCs/>
      <w:kern w:val="44"/>
      <w:sz w:val="44"/>
      <w:szCs w:val="44"/>
      <w:lang w:val="en-US" w:eastAsia="zh-CN" w:bidi="ar-SA"/>
    </w:rPr>
  </w:style>
  <w:style w:type="character" w:customStyle="1" w:styleId="22">
    <w:name w:val="标题 2 字符"/>
    <w:link w:val="4"/>
    <w:semiHidden/>
    <w:qFormat/>
    <w:uiPriority w:val="0"/>
    <w:rPr>
      <w:rFonts w:ascii="Cambria" w:hAnsi="Cambria" w:eastAsia="宋体"/>
      <w:b/>
      <w:bCs/>
      <w:kern w:val="2"/>
      <w:sz w:val="32"/>
      <w:szCs w:val="32"/>
      <w:lang w:val="en-US" w:eastAsia="zh-CN" w:bidi="ar-SA"/>
    </w:rPr>
  </w:style>
  <w:style w:type="character" w:customStyle="1" w:styleId="23">
    <w:name w:val="页脚 字符1"/>
    <w:link w:val="11"/>
    <w:qFormat/>
    <w:uiPriority w:val="0"/>
    <w:rPr>
      <w:rFonts w:eastAsia="方正仿宋_GBK"/>
      <w:kern w:val="2"/>
      <w:sz w:val="18"/>
      <w:lang w:val="en-US" w:eastAsia="zh-CN" w:bidi="ar-SA"/>
    </w:rPr>
  </w:style>
  <w:style w:type="character" w:customStyle="1" w:styleId="24">
    <w:name w:val="页眉 字符"/>
    <w:link w:val="12"/>
    <w:qFormat/>
    <w:uiPriority w:val="0"/>
    <w:rPr>
      <w:rFonts w:eastAsia="方正仿宋_GBK"/>
      <w:kern w:val="2"/>
      <w:sz w:val="18"/>
      <w:lang w:val="en-US" w:eastAsia="zh-CN" w:bidi="ar-SA"/>
    </w:rPr>
  </w:style>
  <w:style w:type="character" w:customStyle="1" w:styleId="25">
    <w:name w:val="标题 字符"/>
    <w:link w:val="14"/>
    <w:uiPriority w:val="0"/>
    <w:rPr>
      <w:rFonts w:ascii="Cambria" w:hAnsi="Cambria" w:eastAsia="方正小标宋_GBK"/>
      <w:bCs/>
      <w:sz w:val="44"/>
      <w:szCs w:val="32"/>
      <w:lang w:bidi="ar-SA"/>
    </w:rPr>
  </w:style>
  <w:style w:type="paragraph" w:customStyle="1" w:styleId="26">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character" w:customStyle="1" w:styleId="27">
    <w:name w:val="apple-style-span"/>
    <w:qFormat/>
    <w:uiPriority w:val="0"/>
  </w:style>
  <w:style w:type="character" w:customStyle="1" w:styleId="28">
    <w:name w:val=" Char Char3"/>
    <w:qFormat/>
    <w:uiPriority w:val="0"/>
    <w:rPr>
      <w:sz w:val="18"/>
      <w:szCs w:val="18"/>
      <w:lang w:bidi="ar-SA"/>
    </w:rPr>
  </w:style>
  <w:style w:type="character" w:customStyle="1" w:styleId="29">
    <w:name w:val="style231"/>
    <w:qFormat/>
    <w:uiPriority w:val="0"/>
    <w:rPr>
      <w:b/>
      <w:bCs/>
      <w:sz w:val="24"/>
      <w:szCs w:val="24"/>
    </w:rPr>
  </w:style>
  <w:style w:type="character" w:customStyle="1" w:styleId="30">
    <w:name w:val="Title Char"/>
    <w:qFormat/>
    <w:locked/>
    <w:uiPriority w:val="0"/>
    <w:rPr>
      <w:rFonts w:ascii="Cambria" w:hAnsi="Cambria" w:eastAsia="方正小标宋_GBK" w:cs="Times New Roman"/>
      <w:bCs/>
      <w:sz w:val="32"/>
      <w:szCs w:val="32"/>
    </w:rPr>
  </w:style>
  <w:style w:type="paragraph" w:customStyle="1" w:styleId="31">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customStyle="1" w:styleId="32">
    <w:name w:val="默认段落字体 Para Char Char Char Char Char Char Char Char Char Char"/>
    <w:basedOn w:val="1"/>
    <w:qFormat/>
    <w:uiPriority w:val="0"/>
    <w:rPr>
      <w:rFonts w:ascii="Arial" w:hAnsi="Arial" w:eastAsia="宋体" w:cs="Arial"/>
      <w:sz w:val="20"/>
    </w:rPr>
  </w:style>
  <w:style w:type="paragraph" w:customStyle="1" w:styleId="33">
    <w:name w:val=" Char Char Char Char Char Char Char Char Char Char Char Char Char Char Char Char Char Char Char Char Char Char"/>
    <w:basedOn w:val="1"/>
    <w:uiPriority w:val="0"/>
    <w:rPr>
      <w:rFonts w:eastAsia="宋体"/>
      <w:sz w:val="21"/>
    </w:rPr>
  </w:style>
  <w:style w:type="paragraph" w:styleId="34">
    <w:name w:val="List Paragraph"/>
    <w:basedOn w:val="1"/>
    <w:qFormat/>
    <w:uiPriority w:val="0"/>
    <w:pPr>
      <w:ind w:firstLine="420" w:firstLineChars="200"/>
    </w:pPr>
    <w:rPr>
      <w:rFonts w:ascii="仿宋" w:hAnsi="仿宋" w:eastAsia="仿宋"/>
      <w:sz w:val="28"/>
      <w:szCs w:val="22"/>
    </w:rPr>
  </w:style>
  <w:style w:type="character" w:customStyle="1" w:styleId="35">
    <w:name w:val="页脚 字符"/>
    <w:uiPriority w:val="0"/>
    <w:rPr>
      <w:rFonts w:eastAsia="方正仿宋_GBK"/>
      <w:kern w:val="2"/>
      <w:sz w:val="18"/>
      <w:lang w:val="en-US" w:eastAsia="zh-CN" w:bidi="ar-SA"/>
    </w:rPr>
  </w:style>
  <w:style w:type="paragraph" w:customStyle="1" w:styleId="36">
    <w:name w:val="Table Paragraph"/>
    <w:basedOn w:val="1"/>
    <w:qFormat/>
    <w:uiPriority w:val="1"/>
  </w:style>
  <w:style w:type="table" w:customStyle="1" w:styleId="37">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38">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9">
    <w:name w:val="Quote"/>
    <w:basedOn w:val="1"/>
    <w:next w:val="1"/>
    <w:qFormat/>
    <w:uiPriority w:val="29"/>
    <w:pPr>
      <w:spacing w:beforeLines="50" w:afterLines="50" w:line="360" w:lineRule="auto"/>
    </w:pPr>
    <w:rPr>
      <w:i/>
      <w:iCs/>
      <w:color w:val="000000"/>
      <w:sz w:val="21"/>
      <w:szCs w:val="24"/>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3</Pages>
  <Words>1262</Words>
  <Characters>1377</Characters>
  <Lines>6</Lines>
  <Paragraphs>1</Paragraphs>
  <TotalTime>8</TotalTime>
  <ScaleCrop>false</ScaleCrop>
  <LinksUpToDate>false</LinksUpToDate>
  <CharactersWithSpaces>1434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2021-02-24T01:44:00Z</dcterms:created>
  <dc:creator>微软中国</dc:creator>
  <cp:lastModifiedBy>叶果</cp:lastModifiedBy>
  <cp:lastPrinted>2020-12-08T07:06:00Z</cp:lastPrinted>
  <dcterms:modified xsi:type="dcterms:W3CDTF">2025-05-20T06:52:56Z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15933705_btnclosed</vt:lpwstr>
  </property>
  <property fmtid="{D5CDD505-2E9C-101B-9397-08002B2CF9AE}" pid="4" name="ICV">
    <vt:lpwstr>170C6D7D72A94E59A74AA345547575FD_13</vt:lpwstr>
  </property>
  <property fmtid="{D5CDD505-2E9C-101B-9397-08002B2CF9AE}" pid="5" name="commondata">
    <vt:lpwstr>eyJoZGlkIjoiMGE1MWFiZWE1MWI1M2VjNzgxMTk3ZDJhNDM3MGZkYzQifQ==</vt:lpwstr>
  </property>
  <property fmtid="{D5CDD505-2E9C-101B-9397-08002B2CF9AE}" pid="6" name="KSOTemplateDocerSaveRecord">
    <vt:lpwstr>eyJoZGlkIjoiMGE1MWFiZWE1MWI1M2VjNzgxMTk3ZDJhNDM3MGZkYzQiLCJ1c2VySWQiOiI5Nzc1NjY3NDEifQ==</vt:lpwstr>
  </property>
</Properties>
</file>